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12 – Marketing &amp; Maintenance: Developing the Community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Advertising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Public Relations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Community Management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Official Website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Guides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Forums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Newsletter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Social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Blog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Wiki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In-Game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Prosumerism: Player as Developer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Fan Art &amp; 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Fan Sites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Community Is King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EliOL392h+V4WigTx4l1jVcsA==">CgMxLjA4AHIhMUlfZHB0SVJrVGlpNkllSmN5d2RFcFAtWTVCNTZPTG0w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