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3315"/>
        <w:gridCol w:w="3405"/>
        <w:tblGridChange w:id="0">
          <w:tblGrid>
            <w:gridCol w:w="3495"/>
            <w:gridCol w:w="3315"/>
            <w:gridCol w:w="3405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gridSpan w:val="3"/>
            <w:tcBorders>
              <w:top w:color="4fc3cd" w:space="0" w:sz="12" w:val="single"/>
              <w:left w:color="4fc3cd" w:space="0" w:sz="12" w:val="single"/>
              <w:bottom w:color="000000" w:space="0" w:sz="0" w:val="nil"/>
              <w:right w:color="0b0647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6267450" cy="469900"/>
                    <wp:effectExtent b="0" l="0" r="0" t="0"/>
                    <wp:docPr id="7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8"/>
                            <a:srcRect b="0" l="177" r="176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267450" cy="4699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60" w:hRule="atLeast"/>
          <w:tblHeader w:val="0"/>
        </w:trPr>
        <w:tc>
          <w:tcPr>
            <w:gridSpan w:val="3"/>
            <w:tcBorders>
              <w:top w:color="000000" w:space="0" w:sz="0" w:val="nil"/>
              <w:left w:color="4fc3cd" w:space="0" w:sz="12" w:val="single"/>
              <w:bottom w:color="000000" w:space="0" w:sz="0" w:val="nil"/>
              <w:right w:color="0b0647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4"/>
                <w:szCs w:val="24"/>
                <w:rtl w:val="0"/>
              </w:rPr>
              <w:t xml:space="preserve">Chapter 8 – Interface: Creating the Connection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Player-Centered Design 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Interface &amp; Game Features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Gameplay</w:t>
              <w:tab/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Story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Character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Audio</w:t>
              <w:tab/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World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Physical Interfaces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Arcade</w:t>
              <w:tab/>
              <w:tab/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Computer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Console</w:t>
              <w:tab/>
              <w:t xml:space="preserve"> &amp; Handheld</w:t>
              <w:tab/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Immersive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0" w:firstLine="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0" w:firstLine="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Visual Interfaces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Classification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Components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Platform-Specific Features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Genre-Specific Features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Usability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Accessibility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Save-Game Options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The Player Experience: Interface &amp; Gameplay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left="0" w:firstLine="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0" w:val="nil"/>
              <w:left w:color="4fc3cd" w:space="0" w:sz="12" w:val="single"/>
              <w:bottom w:color="4fc3cd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/>
              <w:drawing>
                <wp:inline distB="114300" distT="114300" distL="114300" distR="114300">
                  <wp:extent cx="1862138" cy="499903"/>
                  <wp:effectExtent b="0" l="0" r="0" t="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343" l="0" r="0" t="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138" cy="4999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c3cd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c3cd" w:space="0" w:sz="12" w:val="single"/>
              <w:right w:color="4fc3cd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4"/>
                <w:szCs w:val="24"/>
                <w:rtl w:val="0"/>
              </w:rPr>
              <w:t xml:space="preserve">             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0"/>
                <w:szCs w:val="20"/>
                <w:rtl w:val="0"/>
              </w:rPr>
              <w:t xml:space="preserve">       © 2022 Jeannie Novak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4"/>
                <w:szCs w:val="24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  <w:t xml:space="preserve">   </w:t>
            </w:r>
          </w:p>
        </w:tc>
      </w:tr>
    </w:tbl>
    <w:p w:rsidR="00000000" w:rsidDel="00000000" w:rsidP="00000000" w:rsidRDefault="00000000" w:rsidRPr="00000000" w14:paraId="0000002B">
      <w:pPr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2RTzg0-WA4xT0N7RvssgRA9BVQWjkoR7/view?usp=share_link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zkqNqKEbnlEzcZQzQIiqV+PnfQ==">CgMxLjA4AHIhMXlMMUpiZUx2a2RlU2NBQW1UQ3VUWWg1WFd0MW1Bbmoz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